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2B5F2BE0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153BBD">
        <w:rPr>
          <w:rFonts w:asciiTheme="minorHAnsi" w:hAnsiTheme="minorHAnsi"/>
        </w:rPr>
        <w:t>17 January</w:t>
      </w:r>
      <w:r w:rsidR="00EF751B">
        <w:rPr>
          <w:rFonts w:asciiTheme="minorHAnsi" w:hAnsiTheme="minorHAnsi"/>
        </w:rPr>
        <w:t xml:space="preserve"> 201</w:t>
      </w:r>
      <w:r w:rsidR="00153BBD">
        <w:rPr>
          <w:rFonts w:asciiTheme="minorHAnsi" w:hAnsiTheme="minorHAnsi"/>
        </w:rPr>
        <w:t>9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525A8F01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153BBD">
        <w:rPr>
          <w:rFonts w:asciiTheme="minorHAnsi" w:hAnsiTheme="minorHAnsi"/>
        </w:rPr>
        <w:t>7</w:t>
      </w:r>
      <w:r w:rsidR="00576B50">
        <w:rPr>
          <w:rFonts w:asciiTheme="minorHAnsi" w:hAnsiTheme="minorHAnsi"/>
        </w:rPr>
        <w:t xml:space="preserve"> </w:t>
      </w:r>
      <w:r w:rsidR="00153BBD">
        <w:rPr>
          <w:rFonts w:asciiTheme="minorHAnsi" w:hAnsiTheme="minorHAnsi"/>
        </w:rPr>
        <w:t>January 2019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46B04D0A" w14:textId="77777777" w:rsidR="003725EE" w:rsidRP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877C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36F4283A" wp14:editId="4FB809C4">
            <wp:extent cx="1390346" cy="4996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5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7581" w14:textId="2D279387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Sue Bryant,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4C62FD92" w14:textId="19021A4B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4409B4">
        <w:rPr>
          <w:rFonts w:asciiTheme="minorHAnsi" w:hAnsiTheme="minorHAnsi"/>
        </w:rPr>
        <w:t>20 Dece</w:t>
      </w:r>
      <w:r w:rsidR="00B0150F">
        <w:rPr>
          <w:rFonts w:asciiTheme="minorHAnsi" w:hAnsiTheme="minorHAnsi"/>
        </w:rPr>
        <w:t>m</w:t>
      </w:r>
      <w:r w:rsidR="000A7481">
        <w:rPr>
          <w:rFonts w:asciiTheme="minorHAnsi" w:hAnsiTheme="minorHAnsi"/>
        </w:rPr>
        <w:t>ber</w:t>
      </w:r>
      <w:r w:rsidR="00B53C34">
        <w:rPr>
          <w:rFonts w:asciiTheme="minorHAnsi" w:hAnsiTheme="minorHAnsi"/>
        </w:rPr>
        <w:t xml:space="preserve"> 201</w:t>
      </w:r>
      <w:r w:rsidR="009F783C">
        <w:rPr>
          <w:rFonts w:asciiTheme="minorHAnsi" w:hAnsiTheme="minorHAnsi"/>
        </w:rPr>
        <w:t>8</w:t>
      </w:r>
      <w:r w:rsidR="006E385F">
        <w:rPr>
          <w:rFonts w:asciiTheme="minorHAnsi" w:hAnsiTheme="minorHAnsi"/>
        </w:rPr>
        <w:t>.</w:t>
      </w:r>
    </w:p>
    <w:p w14:paraId="4CD64265" w14:textId="77777777" w:rsidR="00941A79" w:rsidRDefault="00941A79" w:rsidP="003725EE">
      <w:pPr>
        <w:ind w:left="720"/>
        <w:rPr>
          <w:rFonts w:asciiTheme="minorHAnsi" w:hAnsiTheme="minorHAnsi"/>
        </w:rPr>
      </w:pPr>
    </w:p>
    <w:p w14:paraId="1250A591" w14:textId="3BDFDD2B" w:rsidR="00DE0524" w:rsidRPr="00941A79" w:rsidRDefault="00DE0524" w:rsidP="00DE0524">
      <w:pPr>
        <w:rPr>
          <w:rFonts w:asciiTheme="minorHAnsi" w:hAnsiTheme="minorHAnsi"/>
          <w:b/>
        </w:rPr>
      </w:pPr>
      <w:r w:rsidRPr="00941A79">
        <w:rPr>
          <w:rFonts w:asciiTheme="minorHAnsi" w:hAnsiTheme="minorHAnsi"/>
          <w:b/>
        </w:rPr>
        <w:t>8.</w:t>
      </w:r>
      <w:r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Pr="00941A79">
        <w:rPr>
          <w:rFonts w:asciiTheme="minorHAnsi" w:hAnsiTheme="minorHAnsi"/>
          <w:b/>
        </w:rPr>
        <w:t xml:space="preserve"> held </w:t>
      </w:r>
      <w:r w:rsidR="00941A79" w:rsidRPr="00941A79">
        <w:rPr>
          <w:rFonts w:asciiTheme="minorHAnsi" w:hAnsiTheme="minorHAnsi"/>
          <w:b/>
        </w:rPr>
        <w:t xml:space="preserve">Thursday </w:t>
      </w:r>
      <w:r w:rsidR="004409B4">
        <w:rPr>
          <w:rFonts w:asciiTheme="minorHAnsi" w:hAnsiTheme="minorHAnsi"/>
          <w:b/>
        </w:rPr>
        <w:t>20 December 2018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3E15603E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68CB9F61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E130929" w14:textId="25A39514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Current 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5BE84C9B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0A41B2D6" w14:textId="1E6C89B0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49971234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7CCBCFD4" w14:textId="14BE9AF6" w:rsidR="00B36E09" w:rsidRPr="003D0BAD" w:rsidRDefault="00B36E09" w:rsidP="00D35DC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Purchase of </w:t>
      </w:r>
      <w:r>
        <w:rPr>
          <w:rFonts w:asciiTheme="minorHAnsi" w:hAnsiTheme="minorHAnsi" w:cstheme="minorHAnsi"/>
        </w:rPr>
        <w:t>D</w:t>
      </w:r>
      <w:r w:rsidRPr="00A41443">
        <w:rPr>
          <w:rFonts w:asciiTheme="minorHAnsi" w:hAnsiTheme="minorHAnsi" w:cstheme="minorHAnsi"/>
        </w:rPr>
        <w:t>efibrillator</w:t>
      </w:r>
    </w:p>
    <w:p w14:paraId="6F4B840A" w14:textId="4DBC0CEA" w:rsidR="003D0BAD" w:rsidRPr="00857070" w:rsidRDefault="003D0BAD" w:rsidP="00D35DC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Request for involvement in proposed Open Gardens</w:t>
      </w:r>
    </w:p>
    <w:p w14:paraId="42484C8B" w14:textId="172FCD31" w:rsidR="00857070" w:rsidRPr="00857070" w:rsidRDefault="00857070" w:rsidP="0085707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A</w:t>
      </w:r>
      <w:r w:rsidRPr="00857070">
        <w:rPr>
          <w:rFonts w:asciiTheme="minorHAnsi" w:hAnsiTheme="minorHAnsi" w:cstheme="minorHAnsi"/>
        </w:rPr>
        <w:t>ffordable housing project at Sunground Avening</w:t>
      </w:r>
      <w:bookmarkStart w:id="0" w:name="_GoBack"/>
      <w:bookmarkEnd w:id="0"/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03FF840D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7A5E191A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</w:t>
      </w:r>
      <w:r w:rsidR="00F721F1">
        <w:rPr>
          <w:rFonts w:asciiTheme="minorHAnsi" w:hAnsiTheme="minorHAnsi"/>
        </w:rPr>
        <w:t>Financial Year End 3</w:t>
      </w:r>
      <w:r w:rsidR="00B36E09">
        <w:rPr>
          <w:rFonts w:asciiTheme="minorHAnsi" w:hAnsiTheme="minorHAnsi"/>
        </w:rPr>
        <w:t>1 Decem</w:t>
      </w:r>
      <w:r w:rsidR="00076ECD">
        <w:rPr>
          <w:rFonts w:asciiTheme="minorHAnsi" w:hAnsiTheme="minorHAnsi"/>
        </w:rPr>
        <w:t>ber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</w:t>
      </w:r>
      <w:r w:rsidR="009F783C">
        <w:rPr>
          <w:rFonts w:asciiTheme="minorHAnsi" w:hAnsiTheme="minorHAnsi"/>
        </w:rPr>
        <w:t>8</w:t>
      </w:r>
    </w:p>
    <w:p w14:paraId="51A55C43" w14:textId="6423E57E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77B749AF" w14:textId="77777777" w:rsidR="00477078" w:rsidRPr="00A41443" w:rsidRDefault="00477078" w:rsidP="003725EE">
      <w:pPr>
        <w:rPr>
          <w:rFonts w:asciiTheme="minorHAnsi" w:hAnsiTheme="minorHAnsi" w:cstheme="minorHAnsi"/>
        </w:rPr>
      </w:pPr>
    </w:p>
    <w:p w14:paraId="7D2AED49" w14:textId="280088F8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F91D1E5" w14:textId="77777777" w:rsidR="006B690C" w:rsidRPr="00E437AF" w:rsidRDefault="006B690C" w:rsidP="003725EE">
      <w:pPr>
        <w:rPr>
          <w:rFonts w:asciiTheme="minorHAnsi" w:hAnsiTheme="minorHAnsi"/>
          <w:b/>
        </w:rPr>
      </w:pPr>
    </w:p>
    <w:p w14:paraId="6C423E8A" w14:textId="23E809EE" w:rsidR="003105C5" w:rsidRDefault="00B63F6E" w:rsidP="003105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768C50C0" w14:textId="77777777" w:rsidR="009824A3" w:rsidRDefault="009824A3" w:rsidP="003725EE">
      <w:pPr>
        <w:rPr>
          <w:rFonts w:asciiTheme="minorHAnsi" w:hAnsiTheme="minorHAnsi"/>
          <w:b/>
        </w:rPr>
      </w:pPr>
    </w:p>
    <w:p w14:paraId="7D67D98F" w14:textId="390E5980" w:rsidR="009824A3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120B6F44" w14:textId="77777777" w:rsidR="003F15A2" w:rsidRDefault="00B63F6E" w:rsidP="003F15A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21ADF4B0" w14:textId="77777777" w:rsidR="002113F7" w:rsidRDefault="002113F7" w:rsidP="003725EE">
      <w:pPr>
        <w:rPr>
          <w:rFonts w:asciiTheme="minorHAnsi" w:hAnsiTheme="minorHAnsi"/>
          <w:b/>
        </w:rPr>
      </w:pPr>
    </w:p>
    <w:p w14:paraId="60AF5348" w14:textId="763BF55A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46A08CED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67807331" w14:textId="3BF7F588" w:rsidR="0019679F" w:rsidRPr="0019679F" w:rsidRDefault="00DF5D15" w:rsidP="007749AD">
      <w:pPr>
        <w:pStyle w:val="NoSpacing"/>
        <w:ind w:firstLine="720"/>
        <w:rPr>
          <w:rFonts w:asciiTheme="minorHAnsi" w:eastAsiaTheme="minorHAnsi" w:hAnsiTheme="minorHAnsi" w:cstheme="minorHAnsi"/>
          <w:sz w:val="27"/>
          <w:szCs w:val="27"/>
        </w:rPr>
      </w:pPr>
      <w:hyperlink r:id="rId8" w:history="1">
        <w:r w:rsidR="0019679F" w:rsidRPr="001B7A58">
          <w:rPr>
            <w:rStyle w:val="Hyperlink"/>
            <w:rFonts w:asciiTheme="minorHAnsi" w:hAnsiTheme="minorHAnsi" w:cstheme="minorHAnsi"/>
          </w:rPr>
          <w:t>Ref. No: 18/04985/TCONR</w:t>
        </w:r>
      </w:hyperlink>
    </w:p>
    <w:p w14:paraId="1EEFD0E5" w14:textId="5B887D26" w:rsidR="0019679F" w:rsidRDefault="00431D76" w:rsidP="007749AD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F31853">
        <w:rPr>
          <w:rFonts w:asciiTheme="minorHAnsi" w:eastAsiaTheme="minorHAnsi" w:hAnsiTheme="minorHAnsi" w:cstheme="minorHAnsi"/>
          <w:bCs/>
        </w:rPr>
        <w:t>Works to trees in conservation areas</w:t>
      </w:r>
      <w:r>
        <w:rPr>
          <w:rFonts w:ascii="Arial-BoldMT" w:eastAsiaTheme="minorHAnsi" w:hAnsi="Arial-BoldMT" w:cs="Arial-BoldMT"/>
          <w:b/>
          <w:bCs/>
          <w:sz w:val="22"/>
          <w:szCs w:val="22"/>
        </w:rPr>
        <w:t xml:space="preserve"> </w:t>
      </w:r>
      <w:r w:rsidR="0019679F" w:rsidRPr="0019679F">
        <w:rPr>
          <w:rFonts w:asciiTheme="minorHAnsi" w:eastAsiaTheme="minorHAnsi" w:hAnsiTheme="minorHAnsi" w:cstheme="minorHAnsi"/>
        </w:rPr>
        <w:t>detailed in submitted map and schedule - 14 Star Lane Avening Tetbury Gloucestershire GL8 8NT</w:t>
      </w:r>
    </w:p>
    <w:p w14:paraId="1E360E46" w14:textId="77777777" w:rsidR="00EE0AA0" w:rsidRPr="0019679F" w:rsidRDefault="00EE0AA0" w:rsidP="007749AD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</w:p>
    <w:p w14:paraId="3FE11CA8" w14:textId="16991947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5A86724D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75FD7006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42CFD041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6B2CEE">
        <w:rPr>
          <w:rFonts w:asciiTheme="minorHAnsi" w:hAnsiTheme="minorHAnsi"/>
          <w:b/>
        </w:rPr>
        <w:t>21 February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6437D9">
        <w:rPr>
          <w:rFonts w:asciiTheme="minorHAnsi" w:hAnsiTheme="minorHAnsi"/>
          <w:b/>
        </w:rPr>
        <w:t>9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EE"/>
    <w:rsid w:val="00000AFC"/>
    <w:rsid w:val="00021F7F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76ECD"/>
    <w:rsid w:val="000908CE"/>
    <w:rsid w:val="000A7481"/>
    <w:rsid w:val="000D05F2"/>
    <w:rsid w:val="000D3837"/>
    <w:rsid w:val="000E51B8"/>
    <w:rsid w:val="000F27DE"/>
    <w:rsid w:val="000F3E5D"/>
    <w:rsid w:val="000F7F93"/>
    <w:rsid w:val="001049A4"/>
    <w:rsid w:val="00110521"/>
    <w:rsid w:val="00111690"/>
    <w:rsid w:val="001131A5"/>
    <w:rsid w:val="00117111"/>
    <w:rsid w:val="00125547"/>
    <w:rsid w:val="0014454B"/>
    <w:rsid w:val="00144811"/>
    <w:rsid w:val="001510E0"/>
    <w:rsid w:val="00151D95"/>
    <w:rsid w:val="00153BBD"/>
    <w:rsid w:val="00153D9E"/>
    <w:rsid w:val="00154B89"/>
    <w:rsid w:val="00185B32"/>
    <w:rsid w:val="00194249"/>
    <w:rsid w:val="0019679F"/>
    <w:rsid w:val="001A2540"/>
    <w:rsid w:val="001A6C21"/>
    <w:rsid w:val="001A79F6"/>
    <w:rsid w:val="001B7A58"/>
    <w:rsid w:val="001C6EDC"/>
    <w:rsid w:val="00201FAF"/>
    <w:rsid w:val="002038E0"/>
    <w:rsid w:val="00210104"/>
    <w:rsid w:val="00210385"/>
    <w:rsid w:val="00210C73"/>
    <w:rsid w:val="002113F7"/>
    <w:rsid w:val="002158CF"/>
    <w:rsid w:val="002215A1"/>
    <w:rsid w:val="0022187C"/>
    <w:rsid w:val="002219E8"/>
    <w:rsid w:val="0024577E"/>
    <w:rsid w:val="002706E0"/>
    <w:rsid w:val="00271028"/>
    <w:rsid w:val="002914F9"/>
    <w:rsid w:val="00291C35"/>
    <w:rsid w:val="00296935"/>
    <w:rsid w:val="002A33B2"/>
    <w:rsid w:val="002A6DCF"/>
    <w:rsid w:val="002B0CAD"/>
    <w:rsid w:val="002D00B5"/>
    <w:rsid w:val="002D39E9"/>
    <w:rsid w:val="002D6BF1"/>
    <w:rsid w:val="002E05A6"/>
    <w:rsid w:val="002E13BE"/>
    <w:rsid w:val="002E1F46"/>
    <w:rsid w:val="002E22E7"/>
    <w:rsid w:val="002E47F6"/>
    <w:rsid w:val="00300F52"/>
    <w:rsid w:val="00306C0A"/>
    <w:rsid w:val="003105C5"/>
    <w:rsid w:val="00315EE9"/>
    <w:rsid w:val="00316ADE"/>
    <w:rsid w:val="0032138F"/>
    <w:rsid w:val="00321930"/>
    <w:rsid w:val="00330220"/>
    <w:rsid w:val="00332D39"/>
    <w:rsid w:val="00351206"/>
    <w:rsid w:val="00352868"/>
    <w:rsid w:val="003539A0"/>
    <w:rsid w:val="00364D46"/>
    <w:rsid w:val="003725EE"/>
    <w:rsid w:val="00382787"/>
    <w:rsid w:val="00382CC2"/>
    <w:rsid w:val="003848F0"/>
    <w:rsid w:val="00386641"/>
    <w:rsid w:val="0039375E"/>
    <w:rsid w:val="003A50F6"/>
    <w:rsid w:val="003B14E7"/>
    <w:rsid w:val="003B21B0"/>
    <w:rsid w:val="003B29C9"/>
    <w:rsid w:val="003D0BAD"/>
    <w:rsid w:val="003D2809"/>
    <w:rsid w:val="003D4B7E"/>
    <w:rsid w:val="003E4B85"/>
    <w:rsid w:val="003F15A2"/>
    <w:rsid w:val="00403478"/>
    <w:rsid w:val="00431D76"/>
    <w:rsid w:val="004409B4"/>
    <w:rsid w:val="00441A21"/>
    <w:rsid w:val="00446620"/>
    <w:rsid w:val="00450560"/>
    <w:rsid w:val="004575B9"/>
    <w:rsid w:val="00477078"/>
    <w:rsid w:val="00483E1A"/>
    <w:rsid w:val="00483E8C"/>
    <w:rsid w:val="00490292"/>
    <w:rsid w:val="00491DAB"/>
    <w:rsid w:val="004A311F"/>
    <w:rsid w:val="004A6DD0"/>
    <w:rsid w:val="004A727E"/>
    <w:rsid w:val="004B4FF2"/>
    <w:rsid w:val="004C7E27"/>
    <w:rsid w:val="004E7624"/>
    <w:rsid w:val="004E7E3A"/>
    <w:rsid w:val="00500B96"/>
    <w:rsid w:val="0050101B"/>
    <w:rsid w:val="00541CB4"/>
    <w:rsid w:val="00544D3E"/>
    <w:rsid w:val="00545551"/>
    <w:rsid w:val="00554A71"/>
    <w:rsid w:val="005633C9"/>
    <w:rsid w:val="005756C2"/>
    <w:rsid w:val="00576B50"/>
    <w:rsid w:val="005B7DB3"/>
    <w:rsid w:val="005C32FF"/>
    <w:rsid w:val="005C571C"/>
    <w:rsid w:val="005D7D28"/>
    <w:rsid w:val="005E3CAB"/>
    <w:rsid w:val="005E7A5D"/>
    <w:rsid w:val="00604384"/>
    <w:rsid w:val="0061621E"/>
    <w:rsid w:val="0062435F"/>
    <w:rsid w:val="006301F0"/>
    <w:rsid w:val="006330D7"/>
    <w:rsid w:val="006404BA"/>
    <w:rsid w:val="006437D9"/>
    <w:rsid w:val="00644A59"/>
    <w:rsid w:val="00644ABA"/>
    <w:rsid w:val="006532DD"/>
    <w:rsid w:val="00657ABD"/>
    <w:rsid w:val="006607C3"/>
    <w:rsid w:val="00672E55"/>
    <w:rsid w:val="00675849"/>
    <w:rsid w:val="006833CA"/>
    <w:rsid w:val="006A19A7"/>
    <w:rsid w:val="006B2CEE"/>
    <w:rsid w:val="006B690C"/>
    <w:rsid w:val="006C3225"/>
    <w:rsid w:val="006C437B"/>
    <w:rsid w:val="006E385F"/>
    <w:rsid w:val="006E3A39"/>
    <w:rsid w:val="007025B8"/>
    <w:rsid w:val="00702E1A"/>
    <w:rsid w:val="00704CB7"/>
    <w:rsid w:val="007069F4"/>
    <w:rsid w:val="00707806"/>
    <w:rsid w:val="007163A0"/>
    <w:rsid w:val="00716B6F"/>
    <w:rsid w:val="00721364"/>
    <w:rsid w:val="007255E8"/>
    <w:rsid w:val="0072562D"/>
    <w:rsid w:val="00726BFA"/>
    <w:rsid w:val="007307E9"/>
    <w:rsid w:val="00735AD0"/>
    <w:rsid w:val="00745D36"/>
    <w:rsid w:val="00752099"/>
    <w:rsid w:val="00754944"/>
    <w:rsid w:val="00760819"/>
    <w:rsid w:val="007701B3"/>
    <w:rsid w:val="00770E48"/>
    <w:rsid w:val="00772279"/>
    <w:rsid w:val="007749AD"/>
    <w:rsid w:val="00775C8F"/>
    <w:rsid w:val="00786E50"/>
    <w:rsid w:val="00791A23"/>
    <w:rsid w:val="007978D0"/>
    <w:rsid w:val="007A107F"/>
    <w:rsid w:val="007B0DAB"/>
    <w:rsid w:val="007B620D"/>
    <w:rsid w:val="007C0E98"/>
    <w:rsid w:val="007E35AB"/>
    <w:rsid w:val="007E6DFA"/>
    <w:rsid w:val="0080181A"/>
    <w:rsid w:val="0080362A"/>
    <w:rsid w:val="008052CB"/>
    <w:rsid w:val="0080546B"/>
    <w:rsid w:val="00811717"/>
    <w:rsid w:val="0081472E"/>
    <w:rsid w:val="00823116"/>
    <w:rsid w:val="00831626"/>
    <w:rsid w:val="00833A09"/>
    <w:rsid w:val="00834438"/>
    <w:rsid w:val="00840E22"/>
    <w:rsid w:val="00843F15"/>
    <w:rsid w:val="00850A36"/>
    <w:rsid w:val="008511B3"/>
    <w:rsid w:val="00857070"/>
    <w:rsid w:val="0086592A"/>
    <w:rsid w:val="008710AE"/>
    <w:rsid w:val="0087201C"/>
    <w:rsid w:val="008C7C0E"/>
    <w:rsid w:val="008D09D9"/>
    <w:rsid w:val="008E697B"/>
    <w:rsid w:val="008F63ED"/>
    <w:rsid w:val="00900B43"/>
    <w:rsid w:val="00903E59"/>
    <w:rsid w:val="00924F16"/>
    <w:rsid w:val="0092691D"/>
    <w:rsid w:val="009276AF"/>
    <w:rsid w:val="00934FFF"/>
    <w:rsid w:val="0093645C"/>
    <w:rsid w:val="00941A79"/>
    <w:rsid w:val="00956216"/>
    <w:rsid w:val="009824A3"/>
    <w:rsid w:val="009924AD"/>
    <w:rsid w:val="009A7465"/>
    <w:rsid w:val="009A7632"/>
    <w:rsid w:val="009A77EB"/>
    <w:rsid w:val="009B1637"/>
    <w:rsid w:val="009B5971"/>
    <w:rsid w:val="009C5346"/>
    <w:rsid w:val="009D25FB"/>
    <w:rsid w:val="009E5772"/>
    <w:rsid w:val="009F4EFD"/>
    <w:rsid w:val="009F783C"/>
    <w:rsid w:val="00A015A6"/>
    <w:rsid w:val="00A2743C"/>
    <w:rsid w:val="00A27AEA"/>
    <w:rsid w:val="00A34626"/>
    <w:rsid w:val="00A41443"/>
    <w:rsid w:val="00A42B2E"/>
    <w:rsid w:val="00A526F4"/>
    <w:rsid w:val="00A54C12"/>
    <w:rsid w:val="00A60831"/>
    <w:rsid w:val="00A638E8"/>
    <w:rsid w:val="00A73A60"/>
    <w:rsid w:val="00A90413"/>
    <w:rsid w:val="00AA3A17"/>
    <w:rsid w:val="00AA60BF"/>
    <w:rsid w:val="00AB1585"/>
    <w:rsid w:val="00AB1751"/>
    <w:rsid w:val="00AB2CEB"/>
    <w:rsid w:val="00AE2A9E"/>
    <w:rsid w:val="00AF5DEA"/>
    <w:rsid w:val="00B00C7D"/>
    <w:rsid w:val="00B0150F"/>
    <w:rsid w:val="00B0514C"/>
    <w:rsid w:val="00B25E41"/>
    <w:rsid w:val="00B27C38"/>
    <w:rsid w:val="00B36E09"/>
    <w:rsid w:val="00B43E05"/>
    <w:rsid w:val="00B526B9"/>
    <w:rsid w:val="00B52892"/>
    <w:rsid w:val="00B53C34"/>
    <w:rsid w:val="00B63F6E"/>
    <w:rsid w:val="00B9272E"/>
    <w:rsid w:val="00BA0455"/>
    <w:rsid w:val="00BB07EF"/>
    <w:rsid w:val="00BB5E13"/>
    <w:rsid w:val="00BC3295"/>
    <w:rsid w:val="00BE0F91"/>
    <w:rsid w:val="00BF293E"/>
    <w:rsid w:val="00BF3A82"/>
    <w:rsid w:val="00C03EDB"/>
    <w:rsid w:val="00C12B46"/>
    <w:rsid w:val="00C1639B"/>
    <w:rsid w:val="00C35D62"/>
    <w:rsid w:val="00C6106B"/>
    <w:rsid w:val="00C80829"/>
    <w:rsid w:val="00C87648"/>
    <w:rsid w:val="00C93690"/>
    <w:rsid w:val="00CA1065"/>
    <w:rsid w:val="00CB05B3"/>
    <w:rsid w:val="00CB42BD"/>
    <w:rsid w:val="00CC355B"/>
    <w:rsid w:val="00CD462B"/>
    <w:rsid w:val="00CE3607"/>
    <w:rsid w:val="00CF17F8"/>
    <w:rsid w:val="00D046BE"/>
    <w:rsid w:val="00D156C1"/>
    <w:rsid w:val="00D179DE"/>
    <w:rsid w:val="00D27892"/>
    <w:rsid w:val="00D3184B"/>
    <w:rsid w:val="00D35DCC"/>
    <w:rsid w:val="00D506F2"/>
    <w:rsid w:val="00D56234"/>
    <w:rsid w:val="00D5779D"/>
    <w:rsid w:val="00D62D2B"/>
    <w:rsid w:val="00D66D36"/>
    <w:rsid w:val="00D67AC9"/>
    <w:rsid w:val="00D72BDC"/>
    <w:rsid w:val="00D83A4D"/>
    <w:rsid w:val="00D912F7"/>
    <w:rsid w:val="00D924A2"/>
    <w:rsid w:val="00DA628E"/>
    <w:rsid w:val="00DB24BE"/>
    <w:rsid w:val="00DC183D"/>
    <w:rsid w:val="00DC4275"/>
    <w:rsid w:val="00DD0813"/>
    <w:rsid w:val="00DE0524"/>
    <w:rsid w:val="00DF5D15"/>
    <w:rsid w:val="00E10E30"/>
    <w:rsid w:val="00E1288F"/>
    <w:rsid w:val="00E15FB5"/>
    <w:rsid w:val="00E25579"/>
    <w:rsid w:val="00E4127A"/>
    <w:rsid w:val="00E437AF"/>
    <w:rsid w:val="00E51C62"/>
    <w:rsid w:val="00E66034"/>
    <w:rsid w:val="00E80490"/>
    <w:rsid w:val="00E8143A"/>
    <w:rsid w:val="00E84A5D"/>
    <w:rsid w:val="00EB315B"/>
    <w:rsid w:val="00ED1FB9"/>
    <w:rsid w:val="00ED65F6"/>
    <w:rsid w:val="00ED6D71"/>
    <w:rsid w:val="00EE0AA0"/>
    <w:rsid w:val="00EE1C60"/>
    <w:rsid w:val="00EF1D8A"/>
    <w:rsid w:val="00EF6041"/>
    <w:rsid w:val="00EF751B"/>
    <w:rsid w:val="00F00AEE"/>
    <w:rsid w:val="00F07A80"/>
    <w:rsid w:val="00F12DE8"/>
    <w:rsid w:val="00F27EC5"/>
    <w:rsid w:val="00F31853"/>
    <w:rsid w:val="00F34EDB"/>
    <w:rsid w:val="00F47B29"/>
    <w:rsid w:val="00F60502"/>
    <w:rsid w:val="00F6658F"/>
    <w:rsid w:val="00F67388"/>
    <w:rsid w:val="00F721F1"/>
    <w:rsid w:val="00F76B73"/>
    <w:rsid w:val="00FA3710"/>
    <w:rsid w:val="00FA721D"/>
    <w:rsid w:val="00FA7CFE"/>
    <w:rsid w:val="00FB5B9D"/>
    <w:rsid w:val="00FB5BEA"/>
    <w:rsid w:val="00FB70A9"/>
    <w:rsid w:val="00FC36B3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F427"/>
  <w15:docId w15:val="{FD4B7813-4B99-44B7-8188-1A367B01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applicationDetails.do?activeTab=documents&amp;keyVal=PK3HFMFI04M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29D3-BBB0-415B-8606-356F48B3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Bryant</dc:creator>
  <cp:lastModifiedBy>Sue Bryant</cp:lastModifiedBy>
  <cp:revision>4</cp:revision>
  <cp:lastPrinted>2018-09-18T14:09:00Z</cp:lastPrinted>
  <dcterms:created xsi:type="dcterms:W3CDTF">2019-01-08T17:40:00Z</dcterms:created>
  <dcterms:modified xsi:type="dcterms:W3CDTF">2019-01-08T17:42:00Z</dcterms:modified>
</cp:coreProperties>
</file>